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/>
          <w:b/>
          <w:b/>
          <w:bCs/>
          <w:i/>
          <w:i/>
          <w:iCs/>
          <w:sz w:val="22"/>
          <w:szCs w:val="22"/>
          <w:lang w:val="ca-ES" w:eastAsia="ar-SA"/>
        </w:rPr>
      </w:pPr>
      <w:r>
        <w:rPr>
          <w:rFonts w:ascii="Arial" w:hAnsi="Arial"/>
          <w:b/>
          <w:bCs/>
          <w:i/>
          <w:iCs/>
          <w:sz w:val="22"/>
          <w:szCs w:val="22"/>
          <w:lang w:val="ca-ES" w:eastAsia="ar-SA"/>
        </w:rPr>
      </w:r>
    </w:p>
    <w:p>
      <w:pPr>
        <w:pStyle w:val="Normal"/>
        <w:jc w:val="center"/>
        <w:rPr>
          <w:rFonts w:ascii="Arial" w:hAnsi="Arial"/>
          <w:b/>
          <w:b/>
          <w:bCs/>
          <w:i/>
          <w:i/>
          <w:iCs/>
          <w:sz w:val="22"/>
          <w:szCs w:val="22"/>
          <w:lang w:val="ca-ES" w:eastAsia="ar-SA"/>
        </w:rPr>
      </w:pPr>
      <w:r>
        <w:rPr>
          <w:rFonts w:ascii="Arial" w:hAnsi="Arial"/>
          <w:b/>
          <w:bCs/>
          <w:i/>
          <w:iCs/>
          <w:sz w:val="22"/>
          <w:szCs w:val="22"/>
          <w:lang w:val="ca-ES"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  <w:t>AN</w:t>
      </w:r>
      <w:r>
        <w:rPr>
          <w:b/>
          <w:bCs/>
          <w:i w:val="false"/>
          <w:iCs w:val="false"/>
          <w:szCs w:val="22"/>
          <w:lang w:eastAsia="ar-SA"/>
        </w:rPr>
        <w:t>N</w:t>
      </w:r>
      <w:r>
        <w:rPr>
          <w:b/>
          <w:bCs/>
          <w:i w:val="false"/>
          <w:iCs w:val="false"/>
          <w:szCs w:val="22"/>
          <w:lang w:eastAsia="ar-SA"/>
        </w:rPr>
        <w:t>EX I</w:t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  <w:t xml:space="preserve">Podran obtenir la condició de beneficiària, les persones físiques o jurídiques, legalment constituïdes que, sent persona autònoma, microempresa o petita empresa, i que la seva activitat </w:t>
      </w:r>
      <w:r>
        <w:rPr>
          <w:bCs/>
          <w:i w:val="false"/>
          <w:iCs w:val="false"/>
          <w:szCs w:val="22"/>
          <w:lang w:eastAsia="ar-SA"/>
        </w:rPr>
        <w:t>s’</w:t>
      </w:r>
      <w:r>
        <w:rPr>
          <w:bCs/>
          <w:i w:val="false"/>
          <w:iCs w:val="false"/>
          <w:szCs w:val="22"/>
          <w:lang w:eastAsia="ar-SA"/>
        </w:rPr>
        <w:t>enquadr</w:t>
      </w:r>
      <w:r>
        <w:rPr>
          <w:bCs/>
          <w:i w:val="false"/>
          <w:iCs w:val="false"/>
          <w:szCs w:val="22"/>
          <w:lang w:eastAsia="ar-SA"/>
        </w:rPr>
        <w:t>e</w:t>
      </w:r>
      <w:r>
        <w:rPr>
          <w:bCs/>
          <w:i w:val="false"/>
          <w:iCs w:val="false"/>
          <w:szCs w:val="22"/>
          <w:lang w:eastAsia="ar-SA"/>
        </w:rPr>
        <w:t xml:space="preserve"> en alguna de les següents agrupacions de l'Impost d'Activitats Econòmiques, segons el Reial Decret Legislatiu 1175 / 1990 de 28 de setembre (BOE 234 de 29 de setembre de 1990):</w:t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</w:r>
    </w:p>
    <w:tbl>
      <w:tblPr>
        <w:tblW w:w="852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41"/>
      </w:tblGrid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 xml:space="preserve">Agrupació 64. Comerç al </w:t>
            </w: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detall</w:t>
            </w: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 xml:space="preserve"> de productes alimentaris, begudes i tabac realitzat en establiments permanents.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641 Comerç aldetall de fruites, verdures, hortalisses i tubercles.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642 Comerç al detall de carns i despulles; de productes i derivats c</w:t>
            </w:r>
            <w:r>
              <w:rPr>
                <w:i w:val="false"/>
                <w:iCs w:val="false"/>
                <w:sz w:val="18"/>
                <w:szCs w:val="18"/>
              </w:rPr>
              <w:t>à</w:t>
            </w:r>
            <w:r>
              <w:rPr>
                <w:i w:val="false"/>
                <w:iCs w:val="false"/>
                <w:sz w:val="18"/>
                <w:szCs w:val="18"/>
              </w:rPr>
              <w:t>rni</w:t>
            </w:r>
            <w:r>
              <w:rPr>
                <w:i w:val="false"/>
                <w:iCs w:val="false"/>
                <w:sz w:val="18"/>
                <w:szCs w:val="18"/>
              </w:rPr>
              <w:t>c</w:t>
            </w:r>
            <w:r>
              <w:rPr>
                <w:i w:val="false"/>
                <w:iCs w:val="false"/>
                <w:sz w:val="18"/>
                <w:szCs w:val="18"/>
              </w:rPr>
              <w:t>s elaborats; d'ous, aviram, conills de granja, caça; i de productes derivats dels mateixos.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643 Comerç aldetall de peix i altres productes de la pesca i de l'aqüicultura i de cargols.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644 Comerç aldetall de pa, pastisseria, confiteria i similars, de llet i productes lactis.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645 Comerç aldetall de vins i begudes de totes classes.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646 Comerç al </w:t>
            </w:r>
            <w:r>
              <w:rPr>
                <w:i w:val="false"/>
                <w:iCs w:val="false"/>
                <w:sz w:val="18"/>
                <w:szCs w:val="18"/>
              </w:rPr>
              <w:t>detall</w:t>
            </w:r>
            <w:r>
              <w:rPr>
                <w:i w:val="false"/>
                <w:iCs w:val="false"/>
                <w:sz w:val="18"/>
                <w:szCs w:val="18"/>
              </w:rPr>
              <w:t xml:space="preserve"> de labors de tabac i d'articles de fumador.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647 Comerç al detall de productes alimentaris i begudes en general.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 xml:space="preserve">Agrupació 65. Comerç al </w:t>
            </w: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detall</w:t>
            </w: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 xml:space="preserve"> de productes industrials no alimentaris realitzat en establiments permanents.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651 Comerç a</w:t>
            </w:r>
            <w:r>
              <w:rPr>
                <w:i w:val="false"/>
                <w:iCs w:val="false"/>
                <w:sz w:val="18"/>
                <w:szCs w:val="18"/>
              </w:rPr>
              <w:t>l</w:t>
            </w:r>
            <w:r>
              <w:rPr>
                <w:i w:val="false"/>
                <w:iCs w:val="false"/>
                <w:sz w:val="18"/>
                <w:szCs w:val="18"/>
              </w:rPr>
              <w:t xml:space="preserve"> detall de productes tèxtils, confecció, calçat, pells i articles de cuir.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652.2 Comerç al detall de productes de drogueria, perfumeria i cosmètica, neteja, pintures, vernissos, dissolvents, papers i altres productes per a la decoració i de productes químics.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652.3 Comerç al detall de productes de perfumeria i cosmètica, i d'articles per a la higiene i la neteja personal.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652.4 Comerç al detall de plantes i herbes en herbolaris.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653 Comerç al detall d'articles per a l'equipament de la llar i la construcció.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654 Comerç al detall de vehicles terrestres, aeronaus i embarcacions i de maquinària, accessoris i peces de recanvi.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656 Comerç al detall de béns usats com ara mobles, roba i </w:t>
            </w:r>
            <w:r>
              <w:rPr>
                <w:i w:val="false"/>
                <w:iCs w:val="false"/>
                <w:sz w:val="18"/>
                <w:szCs w:val="18"/>
              </w:rPr>
              <w:t>béns</w:t>
            </w:r>
            <w:r>
              <w:rPr>
                <w:i w:val="false"/>
                <w:iCs w:val="false"/>
                <w:sz w:val="18"/>
                <w:szCs w:val="18"/>
              </w:rPr>
              <w:t xml:space="preserve"> ordinaris d'ús domèstic.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657. Comerç al </w:t>
            </w:r>
            <w:r>
              <w:rPr>
                <w:i w:val="false"/>
                <w:iCs w:val="false"/>
                <w:sz w:val="18"/>
                <w:szCs w:val="18"/>
              </w:rPr>
              <w:t>detall</w:t>
            </w:r>
            <w:r>
              <w:rPr>
                <w:i w:val="false"/>
                <w:iCs w:val="false"/>
                <w:sz w:val="18"/>
                <w:szCs w:val="18"/>
              </w:rPr>
              <w:t xml:space="preserve"> d'instruments musicals en general, així com dels seus accessoris.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659 Un altre comerç al detall.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662.2 Comerç al </w:t>
            </w:r>
            <w:r>
              <w:rPr>
                <w:i w:val="false"/>
                <w:iCs w:val="false"/>
                <w:sz w:val="18"/>
                <w:szCs w:val="18"/>
              </w:rPr>
              <w:t>detall</w:t>
            </w:r>
            <w:r>
              <w:rPr>
                <w:i w:val="false"/>
                <w:iCs w:val="false"/>
                <w:sz w:val="18"/>
                <w:szCs w:val="18"/>
              </w:rPr>
              <w:t xml:space="preserve"> de tota classe d'articles.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67. Servei d'alimentació.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671 Serveis en restaurants.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672 En cafeteries.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673 En cafès i bars, amb menjar i sense.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675 Serveis en quioscos, casetes, barraques o altres locals anàlegs, situats en mercats o places de proveïments, a l'aire lliure </w:t>
            </w:r>
            <w:r>
              <w:rPr>
                <w:i w:val="false"/>
                <w:iCs w:val="false"/>
                <w:sz w:val="18"/>
                <w:szCs w:val="18"/>
              </w:rPr>
              <w:t xml:space="preserve">a </w:t>
            </w:r>
            <w:r>
              <w:rPr>
                <w:i w:val="false"/>
                <w:iCs w:val="false"/>
                <w:sz w:val="18"/>
                <w:szCs w:val="18"/>
              </w:rPr>
              <w:t>la via pública o jardins.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676 Serveis en xocolateries, gelateries i orxateries.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69. Reparacions.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691 Reparació d'articles elèctrics per a la llar, vehicles automòbils i altres béns de consum.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699 Altres reparacions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75. Activitats annexes als transports.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755 Agències de viatges.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93. Educació i investigació.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931 Ensenyament reglat.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932. Ensenyament no reglat de formació i perfeccionament professional i educació superior.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933 Altres activitats d'ensenyament.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94. Sanitat i serveis veterinaris.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941 Hospitals, clíniques i sanatoris de medicina humana.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 xml:space="preserve">942 Altres establiments sanitaris, balnearis i banys d'aigua </w:t>
            </w:r>
            <w:r>
              <w:rPr>
                <w:i w:val="false"/>
                <w:iCs w:val="false"/>
                <w:sz w:val="18"/>
                <w:szCs w:val="18"/>
              </w:rPr>
              <w:t>d</w:t>
            </w:r>
            <w:r>
              <w:rPr>
                <w:i w:val="false"/>
                <w:iCs w:val="false"/>
                <w:sz w:val="18"/>
                <w:szCs w:val="18"/>
              </w:rPr>
              <w:t>olça i de mar.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943 Consultes i clíniques d'estomatologia i odontologia.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944 Serveis de neuropatia, acupuntura i altres serveis parasanitaris.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945 Consultes i clíniques veterinàries.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96. Serveis recreatius i culturals.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966 Biblioteques, arxius, museus, jardins botànics i zoològics.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967 Instal·lacions esportives i escoles i serveis de perfeccionament de l'esport.</w:t>
            </w:r>
          </w:p>
        </w:tc>
      </w:tr>
      <w:tr>
        <w:trPr/>
        <w:tc>
          <w:tcPr>
            <w:tcW w:w="8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Agrupació 97. Serveis personals.</w:t>
            </w:r>
          </w:p>
          <w:p>
            <w:pPr>
              <w:pStyle w:val="Normal"/>
              <w:jc w:val="both"/>
              <w:rPr>
                <w:bCs/>
                <w:i w:val="false"/>
                <w:i w:val="false"/>
                <w:iCs w:val="false"/>
                <w:sz w:val="20"/>
                <w:szCs w:val="20"/>
                <w:lang w:eastAsia="ar-SA"/>
              </w:rPr>
            </w:pPr>
            <w:r>
              <w:rPr>
                <w:bCs/>
                <w:i w:val="false"/>
                <w:iCs w:val="false"/>
                <w:sz w:val="20"/>
                <w:szCs w:val="20"/>
                <w:lang w:eastAsia="ar-SA"/>
              </w:rPr>
              <w:t>En aquesta Agrupació s'inclouen les següents activitats: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971 Bugaderies, tintoreries i serveis similars.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972 Salons de perruqueria i instituts de bellesa.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973 Serveis fotogràfics, màquines automàtiques fotogràfiques i serveis de fotocòpies.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974 Agències de prestació de serveis domèstics.</w:t>
            </w:r>
          </w:p>
        </w:tc>
      </w:tr>
      <w:tr>
        <w:trPr/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8241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975 Serveis d'emmarcació.</w:t>
            </w:r>
          </w:p>
        </w:tc>
      </w:tr>
    </w:tbl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</w:r>
    </w:p>
    <w:p>
      <w:pPr>
        <w:pStyle w:val="Normal"/>
        <w:jc w:val="both"/>
        <w:rPr>
          <w:bCs/>
          <w:i w:val="false"/>
          <w:i w:val="false"/>
          <w:iCs w:val="false"/>
          <w:szCs w:val="22"/>
          <w:lang w:eastAsia="ar-SA"/>
        </w:rPr>
      </w:pPr>
      <w:r>
        <w:rPr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rFonts w:ascii="Arial" w:hAnsi="Arial" w:eastAsia="Times New Roman" w:cs="Arial"/>
          <w:i w:val="false"/>
          <w:i w:val="false"/>
          <w:iCs w:val="false"/>
          <w:color w:val="000000"/>
          <w:sz w:val="22"/>
          <w:szCs w:val="22"/>
          <w:lang w:bidi="ar-SA"/>
        </w:rPr>
      </w:pPr>
      <w:r>
        <w:rPr>
          <w:rFonts w:eastAsia="Times New Roman" w:cs="Arial" w:ascii="Arial" w:hAnsi="Arial"/>
          <w:i w:val="false"/>
          <w:iCs w:val="false"/>
          <w:color w:val="000000"/>
          <w:sz w:val="22"/>
          <w:szCs w:val="22"/>
          <w:lang w:bidi="ar-SA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1539</TotalTime>
  <Application>LibreOffice/6.0.1.1$Windows_x86 LibreOffice_project/60bfb1526849283ce2491346ed2aa51c465abfe6</Application>
  <Pages>2</Pages>
  <Words>631</Words>
  <Characters>3670</Characters>
  <CharactersWithSpaces>4240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2020-10-13T17:26:19Z</dcterms:modified>
  <cp:revision>47</cp:revision>
  <dc:subject/>
  <dc:title/>
</cp:coreProperties>
</file>